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C41" w:rsidRPr="00672C41" w:rsidRDefault="00672C41" w:rsidP="00672C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19"/>
        </w:rPr>
      </w:pPr>
      <w:r w:rsidRPr="00672C41">
        <w:rPr>
          <w:rFonts w:ascii="Times New Roman" w:hAnsi="Times New Roman" w:cs="Times New Roman"/>
          <w:b/>
          <w:color w:val="000000"/>
          <w:sz w:val="28"/>
          <w:szCs w:val="19"/>
        </w:rPr>
        <w:t xml:space="preserve">Вопросы к </w:t>
      </w:r>
      <w:r w:rsidR="006B6A88">
        <w:rPr>
          <w:rFonts w:ascii="Times New Roman" w:hAnsi="Times New Roman" w:cs="Times New Roman"/>
          <w:b/>
          <w:color w:val="000000"/>
          <w:sz w:val="28"/>
          <w:szCs w:val="19"/>
        </w:rPr>
        <w:t>зачету</w:t>
      </w:r>
      <w:bookmarkStart w:id="0" w:name="_GoBack"/>
      <w:bookmarkEnd w:id="0"/>
    </w:p>
    <w:p w:rsidR="00672C41" w:rsidRPr="00672C41" w:rsidRDefault="00672C41" w:rsidP="00672C4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19"/>
        </w:rPr>
      </w:pP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1. Роль финансов в экономике государства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2.Необходимость и сущность финансов.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3. Функции финансов.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4. Организация и управление финансовой системы.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5. Финансовое планирование.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6. Первоочередные меры по стабилизации финансового положения государства.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7. Финансовая политика государства.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8. Финансовая экономика, ее формирование и направления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9. Финансовые рынки и инструменты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10. Дисконтирование и принятие инвестиционных решений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11. Инструменты с фиксированным доходом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12. Акции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13. Теория портфеля и диверсификация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14. Модели ценообразования активов: CAPM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15. Модели ценообразования активов: APT</w:t>
      </w:r>
    </w:p>
    <w:p w:rsidR="00672C41" w:rsidRPr="00672C41" w:rsidRDefault="00672C41" w:rsidP="00672C41">
      <w:pPr>
        <w:rPr>
          <w:rFonts w:ascii="Times New Roman" w:hAnsi="Times New Roman" w:cs="Times New Roman"/>
          <w:color w:val="000000"/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16. Производные инструменты и ценообразование форвардных контрактов</w:t>
      </w:r>
    </w:p>
    <w:p w:rsidR="00672C41" w:rsidRPr="00672C41" w:rsidRDefault="00672C41" w:rsidP="00672C41">
      <w:pPr>
        <w:spacing w:after="0" w:line="240" w:lineRule="auto"/>
        <w:rPr>
          <w:sz w:val="28"/>
          <w:szCs w:val="19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17. Финансовые опционы и их ценообразование</w:t>
      </w:r>
    </w:p>
    <w:p w:rsidR="00672C41" w:rsidRPr="00672C41" w:rsidRDefault="00672C41" w:rsidP="00672C41">
      <w:pPr>
        <w:rPr>
          <w:sz w:val="36"/>
        </w:rPr>
      </w:pPr>
      <w:r w:rsidRPr="00672C41">
        <w:rPr>
          <w:rFonts w:ascii="Times New Roman" w:hAnsi="Times New Roman" w:cs="Times New Roman"/>
          <w:color w:val="000000"/>
          <w:sz w:val="28"/>
          <w:szCs w:val="19"/>
        </w:rPr>
        <w:t>18. Эффективность рынков</w:t>
      </w:r>
    </w:p>
    <w:sectPr w:rsidR="00672C41" w:rsidRPr="0067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D6"/>
    <w:rsid w:val="00672C41"/>
    <w:rsid w:val="006B6A88"/>
    <w:rsid w:val="008D71E8"/>
    <w:rsid w:val="00C5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2023-08-24T07:00:00Z</dcterms:created>
  <dcterms:modified xsi:type="dcterms:W3CDTF">2023-08-24T07:00:00Z</dcterms:modified>
</cp:coreProperties>
</file>